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РАМОЧНЫЙ ДОГОВОР ПОСТАВКИ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Москва.</w:t>
        <w:tab/>
        <w:tab/>
        <w:tab/>
        <w:tab/>
        <w:t xml:space="preserve">                                                             «  » _________2026 г.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АО «Клонинг Фасилити»,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именуемое в дальнейшем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«Поставщик»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лице генерального директора Коваленко Виктории Романовны, действующей на основании Устава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5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ff7fff" w:val="clear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дальнейшем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«Заказчик»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лице </w:t>
      </w:r>
      <w:r w:rsidDel="00000000" w:rsidR="00000000" w:rsidRPr="00000000">
        <w:rPr>
          <w:rFonts w:ascii="Times New Roman" w:cs="Times New Roman" w:eastAsia="Times New Roman" w:hAnsi="Times New Roman"/>
          <w:shd w:fill="ff7fff" w:val="clear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действующего на основании </w:t>
      </w:r>
      <w:r w:rsidDel="00000000" w:rsidR="00000000" w:rsidRPr="00000000">
        <w:rPr>
          <w:rFonts w:ascii="Times New Roman" w:cs="Times New Roman" w:eastAsia="Times New Roman" w:hAnsi="Times New Roman"/>
          <w:shd w:fill="ff7fff" w:val="clear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другой стороны, а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tabs>
          <w:tab w:val="left" w:leader="none" w:pos="567"/>
          <w:tab w:val="left" w:leader="none" w:pos="993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настоящим Договором Поставщик обязуется в обусловленный Договором срок осуществлять поставки Заказчику синтетической и/или плазмидной ДНК (далее - «Товар») согласно Спецификациям (Приложение № 1 к настоящему Договору, являющееся неотъемлемой его частью), а Заказчик принимать и оплачивать Товар в порядке и сроки, установленные настоящим Договором.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tabs>
          <w:tab w:val="left" w:leader="none" w:pos="567"/>
          <w:tab w:val="left" w:leader="none" w:pos="993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гарантирует, что весь поставляемый по настоящему Договору Товар не является предметом залога, ареста или иного обременения.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567"/>
          <w:tab w:val="left" w:leader="none" w:pos="993"/>
        </w:tabs>
        <w:spacing w:line="240" w:lineRule="auto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Договор является рамочным договором по смыслу статьи 429.1 Гражданского кодекса Российской Федерации и определяет общие условия обязательственных взаимоотношений Сторон, которые будут конкретизированы и уточнены в заявках Заказчика.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993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СОГЛАСОВАНИЯ ПОСТАВОК ТОВАРА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7"/>
        </w:numPr>
        <w:tabs>
          <w:tab w:val="left" w:leader="none" w:pos="567"/>
          <w:tab w:val="left" w:leader="none" w:pos="851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поставки Товара Заказчик Заполняет заявку на сайте Исполнителя https://cloning.tech/dna-synthesis и тем самым принимает указанные условия (далее – Заявка). Поставщик в течение 5 (пяти) календарных дней с момента получения Заявки направляет Заказчику Спецификацию на поставку Товара, подготовленную исходя из условий полученной Заявки, а Заказчик обязуется подписать Спецификацию в течение 5 (пяти) календарных дней с момента ее получения и отправить подписанный экземпляр Поставщику.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7"/>
        </w:numPr>
        <w:tabs>
          <w:tab w:val="left" w:leader="none" w:pos="567"/>
          <w:tab w:val="left" w:leader="none" w:pos="851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имеет право досрочной поставки Товара.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7"/>
        </w:numPr>
        <w:tabs>
          <w:tab w:val="left" w:leader="none" w:pos="567"/>
          <w:tab w:val="left" w:leader="none" w:pos="851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при поставке Товара предоставляет Заказчику УПД.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7"/>
        </w:numPr>
        <w:tabs>
          <w:tab w:val="left" w:leader="none" w:pos="567"/>
          <w:tab w:val="left" w:leader="none" w:pos="851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Право собственности на Товар, а также все риски, связанные с ним, переходят от Поставщика к Заказчику в момент подписания Заказчиком УПД.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7"/>
        </w:numPr>
        <w:tabs>
          <w:tab w:val="left" w:leader="none" w:pos="567"/>
          <w:tab w:val="left" w:leader="none" w:pos="851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Стороны соглашаются, что Поставщик вправе отказаться от поставки Товара при невозможности ее технической реализации. В этом случае Поставщик уведомляет Заказчика в течение 40 (сорока) рабочих дней с даты подписания Спецификации. 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7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ЦЕНА ДОГОВОРА И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ind w:right="-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Цена настоящего Договора определяется как сумма всех поставок, согласованных Сторонами в Спецификациях.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ind w:right="-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Товара НДС не облагается на основании статьи 145.1 НК РФ (Поставщик является участником проекта «Инновационный центр «Сколково»).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ind w:right="-3"/>
        <w:jc w:val="both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Товара, указываемая в Спецификациях, устанавливается с учетом всех расходов Поставщика, связанных с исполнением обязательств, предусмотренных настоящим Договором.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ind w:right="-3"/>
        <w:jc w:val="both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за Товар производится в следующем порядке (если иное Сторонами не согласовано в Спецификации): 100% предоплата.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  <w:sectPr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Заказчиком по настоящему Договору производится путем перечисления денежных средств на расчетный счет Поставщика.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7"/>
        </w:tabs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Обязательство по оплате считается исполненным Заказчиком с момента списания денежных средств с его расчетного счета в пользу Поставщика.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8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производится в российских рублях.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tabs>
          <w:tab w:val="left" w:leader="none" w:pos="284"/>
        </w:tabs>
        <w:spacing w:line="276" w:lineRule="auto"/>
        <w:ind w:left="36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СРОКИ И УСЛОВИЯ ПОСТАВКИ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5"/>
        </w:numPr>
        <w:tabs>
          <w:tab w:val="left" w:leader="none" w:pos="567"/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поставки Товара составляет 8 (Восемь) календарных недель с момента списания денежных средств с расчетного счета Заказчика в пользу Поставщика, если иное не прописано в Спецификации. 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5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поставки Товара: 117437, город Москва, Миклухо-Маклая ул, д. 16/10. Иное место поставки партии Товара при необходимости может быть согласовано Сторонами в Спецификации.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5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Датой поставки и перехода права собственности на Товар от Поставщика к Покупателю считается дата передачи Товара уполномоченному представителю Покупателя в месте поставки, с подписанием УПД.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5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Товар поставляется в упаковке, которая должна обеспечивать сохранность продукции при условии надлежащего обращения с грузом. Тара (упаковка) является невозвратной. Стоимость тары (упаковки) входит в стоимость Товара.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5"/>
        </w:numPr>
        <w:tabs>
          <w:tab w:val="left" w:leader="none" w:pos="567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 производит приемку Товара по его соответствию условиям, указанным в Спецификации.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5"/>
        </w:numPr>
        <w:tabs>
          <w:tab w:val="left" w:leader="none" w:pos="567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отступления от условий Спецификации должны быть зафиксированы и отражены в Акте о несоответствии Товара условиям Спецификации, составленном представителями Поставщика и Заказчика. Срок направления претензии Поставщику – 10 (десять) рабочих дней с момента подписания Акта о несоответствии Товара условиям Спецификации.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5"/>
        </w:numPr>
        <w:tabs>
          <w:tab w:val="left" w:leader="none" w:pos="567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в течение 10 (десяти) рабочих дней с момента получении от Заказчика претензии по несоответствию Товара условиям Спецификации, обязан ее рассмотреть и сообщить Заказчику о принятии претензии и дальнейших действиях по устранению выявленных недостатков, либо направить Заказчику мотивированные возражения на претензию. В случае ненаправления Поставщиком Заказчику мотивированных возражений на претензию в установленный в настоящем пункте срок претензия считается принятой Поставщиком.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5"/>
        </w:numPr>
        <w:tabs>
          <w:tab w:val="left" w:leader="none" w:pos="567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если Поставщиком было признано, что претензия в отношении Товара была обоснованной, Поставщик (в срок, соответствующий сроку поставки конкретного Товара, начинающий течь с момента получения Поставщиком претензии) по выбору Заказчика обязуется совершить одно из следующих действий: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tabs>
          <w:tab w:val="left" w:leader="none" w:pos="709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допоставить недостающий Товар;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tabs>
          <w:tab w:val="left" w:leader="none" w:pos="709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осуществить возврат денежных средств за непоставленный Товар, указанный Заказчиком в рамках Спецификации. 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tabs>
          <w:tab w:val="left" w:leader="none" w:pos="709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расходы, связанные с осуществлением замены 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допоставкой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Товара несет Поставщик.</w:t>
      </w:r>
    </w:p>
    <w:p w:rsidR="00000000" w:rsidDel="00000000" w:rsidP="00000000" w:rsidRDefault="00000000" w:rsidRPr="00000000" w14:paraId="00000029">
      <w:pPr>
        <w:tabs>
          <w:tab w:val="left" w:leader="none" w:pos="709"/>
          <w:tab w:val="left" w:leader="none" w:pos="85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f5i2m1x1iwi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numPr>
          <w:ilvl w:val="0"/>
          <w:numId w:val="5"/>
        </w:numPr>
        <w:spacing w:after="120" w:before="120" w:line="240" w:lineRule="auto"/>
        <w:ind w:left="36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tabs>
          <w:tab w:val="left" w:leader="none" w:pos="567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обязан:</w:t>
      </w:r>
    </w:p>
    <w:p w:rsidR="00000000" w:rsidDel="00000000" w:rsidP="00000000" w:rsidRDefault="00000000" w:rsidRPr="00000000" w14:paraId="0000002C">
      <w:pPr>
        <w:numPr>
          <w:ilvl w:val="2"/>
          <w:numId w:val="5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Поставить Товар, соответствующий условиям Договора.</w:t>
      </w:r>
    </w:p>
    <w:p w:rsidR="00000000" w:rsidDel="00000000" w:rsidP="00000000" w:rsidRDefault="00000000" w:rsidRPr="00000000" w14:paraId="0000002D">
      <w:pPr>
        <w:numPr>
          <w:ilvl w:val="2"/>
          <w:numId w:val="5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гарантирует качество поставляемого Товара и несет все расходы по замене дефектного Товара, выявленного Заказчиком при приемке.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</w:rPr>
      </w:pPr>
      <w:bookmarkStart w:colFirst="0" w:colLast="0" w:name="_tyjcwt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Предоставить Заказчику УПД на поставленные Товары.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tabs>
          <w:tab w:val="left" w:leader="none" w:pos="567"/>
        </w:tabs>
        <w:spacing w:line="240" w:lineRule="auto"/>
        <w:ind w:left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 обязан: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5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Исполнить свои обязательства по приемке и оплате Товара в соответствии с условиями настоящего Договора.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bookmarkStart w:colFirst="0" w:colLast="0" w:name="_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КАЧЕСТВО ТОВАРА. ГАРАНТИЙНЫЙ СРОК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1t3h5sf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гарантирует качество Товара. Гарантийный срок на Товар составляет 3 (три) месяца.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выявлении дефекта Товара в течение гарантийного срока Заказчик обязуется проинформировать Поставщика об этом путем направления претензии по качеству Товара на электронную почту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orders@cloning.tech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 в течение 10 (десяти) рабочих дней с момента получении от Заказчика претензии по качеству Товара, обязан ее рассмотреть и сообщить Заказчику о принятии претензии и дальнейших действиях по устранению выявленных недостатков. 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расходы, связанные с исполнением гарантийных обязательств, лежат на Поставщике.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исполнения Поставщиком своих гарантийных обязательств не должен превышать срок поставки Товара. В случае необходимости увеличения срока для исполнения Поставщиком своих гарантийных обязательств Поставщик обязан письменно согласовать этот срок с Заказчиком.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наступлении гарантийного случая, Заказчик вправе по своему выбору: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567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потребовать замены некачественного Товара на качественный,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либо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567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одностороннем внесудебном порядке отказаться от настоящего Договора полностью или в соответствующей части, и потребовать возврата уплаченной за соответствующий Товар денежной суммы, и вывоза некачественного Товара. В этом случае Поставщик обязуется вернуть Заказчику денежные средства, уплаченные за Товар, на расчетный счет, указанный в настоящем Договоре, в течение 5 (пяти) банковских дней с момента получения уведомления от Заказчика.</w:t>
      </w:r>
    </w:p>
    <w:p w:rsidR="00000000" w:rsidDel="00000000" w:rsidP="00000000" w:rsidRDefault="00000000" w:rsidRPr="00000000" w14:paraId="0000003C">
      <w:p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bookmarkStart w:colFirst="0" w:colLast="0" w:name="_4d34og8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2s8eyo1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нарушении сроков поставки Товара Поставщик уплачивает Заказчику пени в размере 0,1 % стоимости не поставленного в срок (недопоставленного) Товара за каждый день просрочки. 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нарушения Заказчиком сроков оплаты за поставленные Товары Заказчик на основании требования уплачивает Поставщику пени в размере 0,1% суммы задолженности за каждый день просрочки. 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Сторон в иных случаях определяется в соответствии с законодательством Российской Федерации.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17dp8vu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Уплата неустойки и возмещение убытков в случае ненадлежащего исполнения обязательств не освобождают Стороны от исполнения обязательства.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Правила, предусмотренные ст. 317.1 ГК РФ, о начислении процентов на сумму долга за период пользования денежными средствами к настоящему Договору не применяются.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ФОРС-МАЖОР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Ни одна из сторон не несет ответственность перед другой Стороной за неисполнение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нормативных актов государственных органов. 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Сторона, которая не исполняет обязательств по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извещение или несвоевременное извещение, а также отсутствие подтверждения соответствующего уполномоченного органа лишает соответствующую Сторону права ссылаться на обстоятельства непреодолимой силы как на основания освобождения ее от ответственности.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наступления обстоятельств непреодолимой силы срок исполнения Сторонами обязательств по настоящему Договору отодвигается соразмерно времени, в течение которого действуют такие обстоятельства или их последствия.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rdcrjn" w:id="12"/>
      <w:bookmarkEnd w:id="1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если вышеуказанные обстоятельства или их последствия будут длиться более 2 (двух) месяцев, Стороны проведут переговоры о возможности дальнейшего исполнения обязательств по настоящему Договору и подпишут соответствующее соглашение. Если в течение 15 (пятнадцати) календарных дней со дня начала переговоров, Стороны не определят порядок исполнения обязанностей и осуществления прав по настоящему Договору, каждая из Сторон вправе в одностороннем порядке отказаться от исполнения настоящего Договора без возмещения убытков другой Стороне, за исключением возврата авансового платежа.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5ixo9qa86dq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РАЗРЕШЕНИЯ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споры или разногласия, возникающие между Сторонами по Договору или в связи с его исполнением, разрешаются путем переговоров с обязательным соблюдением Сторонами претензионного порядка. Сторона, получившая претензию, должна ответить на нее в течение 10 (десяти) рабочих дней с момента ее получения.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невозможности разрешения разногласий путем переговоров они подлежат рассмотрению в Арбитражном суде г. Москвы.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ИЗМЕНЕНИЕ И РАСТОРЖЕНИЕ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изменения и дополнения к настоящему Договору оформляются дополнительными соглашениями, и имеют силу только в том случае, если они оформлены в письменном виде и подписаны Сторонами.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26in1rg" w:id="14"/>
      <w:bookmarkEnd w:id="1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Подписанные Сторонами дополнительные соглашения к настоящему Договору являются его неотъемлемой частью.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Стороны обязаны незамедлительно извещать друг друга в случае изменения своих реквизитов. Изменение реквизитов сторон не требует заключения дополнительного соглашения.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Договор может быть расторгнут досрочно в случаях, предусмотренных действующим законодательством Российской Федерации.</w:t>
      </w:r>
    </w:p>
    <w:p w:rsidR="00000000" w:rsidDel="00000000" w:rsidP="00000000" w:rsidRDefault="00000000" w:rsidRPr="00000000" w14:paraId="00000055">
      <w:p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tabs>
          <w:tab w:val="left" w:leader="none" w:pos="709"/>
        </w:tabs>
        <w:spacing w:line="240" w:lineRule="auto"/>
        <w:ind w:left="357"/>
        <w:jc w:val="center"/>
        <w:rPr>
          <w:rFonts w:ascii="Times New Roman" w:cs="Times New Roman" w:eastAsia="Times New Roman" w:hAnsi="Times New Roman"/>
        </w:rPr>
      </w:pPr>
      <w:bookmarkStart w:colFirst="0" w:colLast="0" w:name="_lnxbz9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 вступает в силу с момента его подписания Сторонами и действует момента полного исполнения Сторонами взятых на себя обязательств.</w:t>
      </w:r>
    </w:p>
    <w:p w:rsidR="00000000" w:rsidDel="00000000" w:rsidP="00000000" w:rsidRDefault="00000000" w:rsidRPr="00000000" w14:paraId="00000058">
      <w:pPr>
        <w:tabs>
          <w:tab w:val="left" w:leader="none" w:pos="567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5nkun2" w:id="16"/>
      <w:bookmarkEnd w:id="1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Стороны не вправе передавать свои права и обязательства по Договору третьим лицам без письменного согласия друг друга.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 составлен и подписан в 2 (двух) одинаковых экземплярах, имеющих равную юридическую силу – по одному для каждой из Сторон.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tabs>
          <w:tab w:val="left" w:leader="none" w:pos="709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приложения к настоящему Договору являются его неотъемлемой частью. К настоящему договору прилагается:</w:t>
      </w:r>
    </w:p>
    <w:p w:rsidR="00000000" w:rsidDel="00000000" w:rsidP="00000000" w:rsidRDefault="00000000" w:rsidRPr="00000000" w14:paraId="0000005E">
      <w:pPr>
        <w:tabs>
          <w:tab w:val="left" w:leader="none" w:pos="567"/>
        </w:tabs>
        <w:spacing w:line="240" w:lineRule="auto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Приложение № 1 «Спецификация» (ОБРАЗЕЦ).</w:t>
      </w:r>
    </w:p>
    <w:p w:rsidR="00000000" w:rsidDel="00000000" w:rsidP="00000000" w:rsidRDefault="00000000" w:rsidRPr="00000000" w14:paraId="0000005F">
      <w:pPr>
        <w:tabs>
          <w:tab w:val="left" w:leader="none" w:pos="567"/>
        </w:tabs>
        <w:spacing w:line="240" w:lineRule="auto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numPr>
          <w:ilvl w:val="0"/>
          <w:numId w:val="3"/>
        </w:numPr>
        <w:spacing w:after="120" w:before="120" w:line="240" w:lineRule="auto"/>
        <w:ind w:left="35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РЕКВИЗИТЫ И ПОДПИСИ СТОРОН</w:t>
      </w: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0"/>
        <w:gridCol w:w="5085"/>
        <w:tblGridChange w:id="0">
          <w:tblGrid>
            <w:gridCol w:w="4980"/>
            <w:gridCol w:w="5085"/>
          </w:tblGrid>
        </w:tblGridChange>
      </w:tblGrid>
      <w:tr>
        <w:trPr>
          <w:cantSplit w:val="0"/>
          <w:trHeight w:val="24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Поставщик: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АО «Клонинг Фасилити»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ИНН: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9731095780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КПП: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772801001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 юридический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117437, город Москва, Миклухо-Маклая ул, д. 16/10 к. 9, помещ. 1 ком. 3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Почтовый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117997, Москва, ул. Миклухо-Маклая, 16/10, корпус 9 помещение 1, комн. № 3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ОГРН: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1227700419671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ОКПО: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51890933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+7 (916) 939-36-77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orders@cloning.tech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Web: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https://cloning.tech/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Банк: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АО "АЛЬФА-БАНК"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044525593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р/счет: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40702810502370012289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к/счет: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30101810200000000593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ИНН: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КПП: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Адрес юридический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Почтовый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ОГРН: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_______________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ОКПО: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____________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Тел.: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_____________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_________________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Web: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р/счет: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Банк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к/сче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т: __________________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БИК: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 ___________________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.89257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В.Р. Коваленко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/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0"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hd w:fill="ff7fff" w:val="clear"/>
                <w:rtl w:val="0"/>
              </w:rPr>
              <w:t xml:space="preserve">/________________/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hd w:fill="ff7f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 Договору поставки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ff7fff" w:val="clear"/>
          <w:rtl w:val="0"/>
        </w:rPr>
        <w:t xml:space="preserve">__________</w:t>
      </w:r>
    </w:p>
    <w:p w:rsidR="00000000" w:rsidDel="00000000" w:rsidP="00000000" w:rsidRDefault="00000000" w:rsidRPr="00000000" w14:paraId="00000096">
      <w:pPr>
        <w:spacing w:line="240" w:lineRule="auto"/>
        <w:jc w:val="right"/>
        <w:rPr>
          <w:rFonts w:ascii="Times New Roman" w:cs="Times New Roman" w:eastAsia="Times New Roman" w:hAnsi="Times New Roman"/>
          <w:shd w:fill="ff7f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ff7fff" w:val="clear"/>
          <w:rtl w:val="0"/>
        </w:rPr>
        <w:t xml:space="preserve">от «__» 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(О Б Р А З Е 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2f2f2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СПЕЦИФИКАЦИЯ № ___ от «____» ______________ 20__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 Договору поставки № ____________ от «__»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Заказчик: </w:t>
      </w:r>
      <w:r w:rsidDel="00000000" w:rsidR="00000000" w:rsidRPr="00000000">
        <w:rPr>
          <w:rFonts w:ascii="Times New Roman" w:cs="Times New Roman" w:eastAsia="Times New Roman" w:hAnsi="Times New Roman"/>
          <w:shd w:fill="ff7fff" w:val="clear"/>
          <w:rtl w:val="0"/>
        </w:rPr>
        <w:t xml:space="preserve">__________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Поставщик: АО «Клонинг Фасилити» </w:t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3345"/>
        <w:gridCol w:w="1035"/>
        <w:gridCol w:w="1140"/>
        <w:gridCol w:w="1290"/>
        <w:gridCol w:w="690"/>
        <w:gridCol w:w="2175"/>
        <w:tblGridChange w:id="0">
          <w:tblGrid>
            <w:gridCol w:w="435"/>
            <w:gridCol w:w="3345"/>
            <w:gridCol w:w="1035"/>
            <w:gridCol w:w="1140"/>
            <w:gridCol w:w="1290"/>
            <w:gridCol w:w="690"/>
            <w:gridCol w:w="217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ffebff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426"/>
              </w:tabs>
              <w:spacing w:line="240" w:lineRule="auto"/>
              <w:ind w:left="-3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bff" w:val="clear"/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Наименование 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bff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Кол 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bff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bff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Цена за ед., руб.*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ebff" w:val="clear"/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Итого, руб*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284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284"/>
              </w:tabs>
              <w:spacing w:line="240" w:lineRule="auto"/>
              <w:ind w:right="-25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*НДС не облагается на основании статьи 145.1 НК РФ (Поставщик является участником проекта «Инновационный центр «Сколково»).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Условия поставки и оплаты:</w:t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Общая стоимость поставляемого Товара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______________ рублей __ копеек, НДС не облагается на основании статьи 145.1 НК РФ (Поставщик является участником проекта «Инновационный центр «Сколково»).</w:t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Условия оплаты:___________________________________</w:t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Срок поставки Товара: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B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ПОДПИСИ СТОРОН: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5"/>
        <w:gridCol w:w="5190"/>
        <w:tblGridChange w:id="0">
          <w:tblGrid>
            <w:gridCol w:w="4875"/>
            <w:gridCol w:w="519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Поставщик: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АО «Клонинг Фасилити»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ИНН: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КПП: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 юридический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Почтовый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ОГРН: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ОКПО: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р/счет: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Банк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к/сче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т: __________________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ИНН: ________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КПП: __________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 юридический: __________________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Почтовый адрес: ______________________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ОГРН: _______________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ОКПО: ____________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р/счет: ______________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Банк ______________________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к/счет: __________________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БИК: 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/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/________________/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М.П.</w:t>
            </w:r>
          </w:p>
        </w:tc>
      </w:tr>
    </w:tbl>
    <w:p w:rsidR="00000000" w:rsidDel="00000000" w:rsidP="00000000" w:rsidRDefault="00000000" w:rsidRPr="00000000" w14:paraId="000000DD">
      <w:pPr>
        <w:spacing w:after="24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-----------------------------------------------------------------------------------------------------------------------------------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Образец Спецификации к Договору Сторонами согласован.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left"/>
        <w:tblInd w:w="-108.0" w:type="dxa"/>
        <w:tblLayout w:type="fixed"/>
        <w:tblLook w:val="0000"/>
      </w:tblPr>
      <w:tblGrid>
        <w:gridCol w:w="4800"/>
        <w:gridCol w:w="4770"/>
        <w:tblGridChange w:id="0">
          <w:tblGrid>
            <w:gridCol w:w="4800"/>
            <w:gridCol w:w="477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ПОСТАВЩИК: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АО «Клонинг Фасилити»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Генеральный директор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________________/В.Р. Коваленко/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Заказчик: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hd w:fill="ff7fff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7fff" w:val="clear"/>
                <w:rtl w:val="0"/>
              </w:rPr>
              <w:t xml:space="preserve">__________________/_______________/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М.П.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450" w:left="1276" w:right="566" w:header="340" w:footer="3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357" w:hanging="357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decimal"/>
      <w:lvlText w:val="%1.%2."/>
      <w:lvlJc w:val="left"/>
      <w:pPr>
        <w:ind w:left="0" w:firstLine="703"/>
      </w:pPr>
      <w:rPr>
        <w:b w:val="0"/>
        <w:bCs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763" w:hanging="356.9999999999998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66" w:hanging="35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169" w:hanging="357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872" w:hanging="357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575" w:hanging="357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278" w:hanging="357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81" w:hanging="357"/>
      </w:pPr>
      <w:rPr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360" w:hanging="360"/>
      </w:pPr>
      <w:rPr>
        <w:b w:val="1"/>
        <w:bCs w:val="1"/>
        <w:i w:val="0"/>
        <w:iCs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i w:val="0"/>
        <w:i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1"/>
        <w:iCs w:val="1"/>
        <w:u w:val="singl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1"/>
        <w:iCs w:val="1"/>
        <w:u w:val="single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1"/>
        <w:iCs w:val="1"/>
        <w:u w:val="singl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1"/>
        <w:iCs w:val="1"/>
        <w:u w:val="singl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1"/>
        <w:iCs w:val="1"/>
        <w:u w:val="singl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1"/>
        <w:iCs w:val="1"/>
        <w:u w:val="single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ders@cloning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